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6F537D" w:rsidRDefault="00F92268" w:rsidP="00850792">
      <w:pPr>
        <w:pStyle w:val="BodyText"/>
        <w:rPr>
          <w:sz w:val="6"/>
          <w:szCs w:val="6"/>
        </w:rPr>
      </w:pPr>
      <w:r w:rsidRPr="006F537D">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6F537D"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6F537D" w:rsidRDefault="00F92268" w:rsidP="00F246C7">
            <w:pPr>
              <w:pStyle w:val="RefTableData"/>
            </w:pPr>
            <w:r w:rsidRPr="006F537D">
              <w:t>Reference number(s)</w:t>
            </w:r>
          </w:p>
        </w:tc>
      </w:tr>
      <w:tr w:rsidR="00F92268" w:rsidRPr="006F537D"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CCC7089" w:rsidR="00F92268" w:rsidRPr="006F537D" w:rsidRDefault="00661C90" w:rsidP="00661C90">
            <w:pPr>
              <w:pStyle w:val="RefTableData"/>
            </w:pPr>
            <w:r w:rsidRPr="006F537D">
              <w:t>2079-A</w:t>
            </w:r>
          </w:p>
        </w:tc>
      </w:tr>
    </w:tbl>
    <w:p w14:paraId="74FBA5B4" w14:textId="77777777" w:rsidR="00051356" w:rsidRPr="006F537D" w:rsidRDefault="00051356" w:rsidP="00A07349">
      <w:pPr>
        <w:pStyle w:val="BodyText"/>
        <w:spacing w:after="0"/>
        <w:rPr>
          <w:b/>
          <w:bCs/>
          <w:sz w:val="16"/>
          <w:szCs w:val="16"/>
        </w:rPr>
        <w:sectPr w:rsidR="00051356" w:rsidRPr="006F537D" w:rsidSect="00686CB6">
          <w:headerReference w:type="even" r:id="rId12"/>
          <w:headerReference w:type="default" r:id="rId13"/>
          <w:footerReference w:type="even" r:id="rId14"/>
          <w:footerReference w:type="default" r:id="rId15"/>
          <w:footerReference w:type="first" r:id="rId16"/>
          <w:pgSz w:w="12240" w:h="15840" w:code="1"/>
          <w:pgMar w:top="900" w:right="720" w:bottom="990" w:left="720" w:header="720" w:footer="807" w:gutter="0"/>
          <w:paperSrc w:first="15" w:other="15"/>
          <w:cols w:space="720"/>
          <w:titlePg/>
          <w:docGrid w:linePitch="299"/>
        </w:sectPr>
      </w:pPr>
    </w:p>
    <w:p w14:paraId="3F4DE49F" w14:textId="191973B8" w:rsidR="004B15BB" w:rsidRPr="006F537D" w:rsidRDefault="00661C90" w:rsidP="007E5C16">
      <w:pPr>
        <w:pStyle w:val="Heading1"/>
      </w:pPr>
      <w:r w:rsidRPr="006F537D">
        <w:t>Specialty Guideline Management</w:t>
      </w:r>
      <w:r w:rsidR="008C54D9" w:rsidRPr="006F537D">
        <w:br/>
      </w:r>
      <w:r w:rsidRPr="006F537D">
        <w:t>Inlyta</w:t>
      </w:r>
    </w:p>
    <w:p w14:paraId="78861C92" w14:textId="6A91A96D" w:rsidR="00203468" w:rsidRPr="006F537D" w:rsidRDefault="00C64534" w:rsidP="008E0F0D">
      <w:pPr>
        <w:pStyle w:val="Heading2"/>
      </w:pPr>
      <w:r w:rsidRPr="006F537D">
        <w:t xml:space="preserve">Products Referenced by this </w:t>
      </w:r>
      <w:r w:rsidR="00501602" w:rsidRPr="006F537D">
        <w:t>Document</w:t>
      </w:r>
    </w:p>
    <w:p w14:paraId="07868740" w14:textId="127D4E5F" w:rsidR="00725714" w:rsidRPr="006F537D" w:rsidRDefault="00D82D85" w:rsidP="00661C90">
      <w:pPr>
        <w:pStyle w:val="BodyText"/>
      </w:pPr>
      <w:r w:rsidRPr="006F537D">
        <w:t xml:space="preserve">Drugs that are listed in the </w:t>
      </w:r>
      <w:r w:rsidR="000315F1" w:rsidRPr="006F537D">
        <w:t>following table</w:t>
      </w:r>
      <w:r w:rsidRPr="006F537D">
        <w:t xml:space="preserve"> include both brand and generic and all dosage forms and strengths unless otherwise stated. </w:t>
      </w:r>
      <w:r w:rsidR="00EE287A" w:rsidRPr="00EE287A">
        <w:t>Over</w:t>
      </w:r>
      <w:r w:rsidR="00511E7A">
        <w:t>-</w:t>
      </w:r>
      <w:r w:rsidR="00EE287A" w:rsidRPr="00EE287A">
        <w:t>the</w:t>
      </w:r>
      <w:r w:rsidR="00511E7A">
        <w:t>-</w:t>
      </w:r>
      <w:r w:rsidR="00EE287A" w:rsidRPr="00EE287A">
        <w:t>counter (OTC)</w:t>
      </w:r>
      <w:r w:rsidRPr="006F537D">
        <w:t xml:space="preserve"> products are not included unless otherwise stated.</w:t>
      </w:r>
    </w:p>
    <w:tbl>
      <w:tblPr>
        <w:tblStyle w:val="TableGrid"/>
        <w:tblW w:w="1068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40"/>
        <w:gridCol w:w="5340"/>
      </w:tblGrid>
      <w:tr w:rsidR="005B4D7C" w:rsidRPr="006F537D" w14:paraId="057AAA89" w14:textId="77777777" w:rsidTr="00511E7A">
        <w:trPr>
          <w:cantSplit/>
          <w:trHeight w:val="288"/>
          <w:tblHeader/>
        </w:trPr>
        <w:tc>
          <w:tcPr>
            <w:tcW w:w="5340" w:type="dxa"/>
            <w:vAlign w:val="center"/>
          </w:tcPr>
          <w:p w14:paraId="6CBFE1BD" w14:textId="77777777" w:rsidR="005B4D7C" w:rsidRPr="006F537D" w:rsidRDefault="005B4D7C">
            <w:pPr>
              <w:pStyle w:val="TableHeader"/>
            </w:pPr>
            <w:r w:rsidRPr="006F537D">
              <w:t>Brand Name</w:t>
            </w:r>
          </w:p>
        </w:tc>
        <w:tc>
          <w:tcPr>
            <w:tcW w:w="5340" w:type="dxa"/>
            <w:vAlign w:val="center"/>
          </w:tcPr>
          <w:p w14:paraId="18440B85" w14:textId="77777777" w:rsidR="005B4D7C" w:rsidRPr="006F537D" w:rsidRDefault="005B4D7C">
            <w:pPr>
              <w:pStyle w:val="TableHeader"/>
            </w:pPr>
            <w:r w:rsidRPr="006F537D">
              <w:t>Generic Name</w:t>
            </w:r>
          </w:p>
        </w:tc>
      </w:tr>
      <w:tr w:rsidR="005B4D7C" w:rsidRPr="006F537D" w14:paraId="7742B1EC" w14:textId="77777777" w:rsidTr="00511E7A">
        <w:trPr>
          <w:cantSplit/>
        </w:trPr>
        <w:tc>
          <w:tcPr>
            <w:tcW w:w="5340" w:type="dxa"/>
          </w:tcPr>
          <w:p w14:paraId="4DED0C9B" w14:textId="16640FFE" w:rsidR="005B4D7C" w:rsidRPr="006F537D" w:rsidRDefault="00661C90">
            <w:pPr>
              <w:pStyle w:val="TableDataUnpadded"/>
            </w:pPr>
            <w:r w:rsidRPr="006F537D">
              <w:t>Inlyta</w:t>
            </w:r>
          </w:p>
        </w:tc>
        <w:tc>
          <w:tcPr>
            <w:tcW w:w="5340" w:type="dxa"/>
          </w:tcPr>
          <w:p w14:paraId="1A09710D" w14:textId="1C4FC2E3" w:rsidR="005B4D7C" w:rsidRPr="006F537D" w:rsidRDefault="00661C90">
            <w:pPr>
              <w:pStyle w:val="TableDataUnpadded"/>
            </w:pPr>
            <w:r w:rsidRPr="006F537D">
              <w:t>axitinib</w:t>
            </w:r>
          </w:p>
        </w:tc>
      </w:tr>
    </w:tbl>
    <w:p w14:paraId="14CE6108" w14:textId="6782D2B8" w:rsidR="00FC1AAD" w:rsidRPr="006F537D" w:rsidRDefault="00ED052F" w:rsidP="00AA2A94">
      <w:pPr>
        <w:pStyle w:val="Heading2"/>
        <w:tabs>
          <w:tab w:val="left" w:pos="9540"/>
        </w:tabs>
      </w:pPr>
      <w:r w:rsidRPr="006F537D">
        <w:t>Indications</w:t>
      </w:r>
    </w:p>
    <w:p w14:paraId="04064D93" w14:textId="5CE19D7F" w:rsidR="00661C90" w:rsidRPr="006F537D" w:rsidRDefault="00661C90" w:rsidP="00661C90">
      <w:pPr>
        <w:pStyle w:val="BodyText"/>
      </w:pPr>
      <w:r w:rsidRPr="006F537D">
        <w:t>The indications below including FDA-approved indications and compendial uses are considered a covered benefit provided that all the approval criteria are met and the member has no exclusions to the prescribed therapy.</w:t>
      </w:r>
    </w:p>
    <w:p w14:paraId="134B5687" w14:textId="168D50E9" w:rsidR="00ED052F" w:rsidRPr="006F537D" w:rsidRDefault="00ED052F" w:rsidP="00ED052F">
      <w:pPr>
        <w:pStyle w:val="Heading3"/>
        <w:keepNext w:val="0"/>
      </w:pPr>
      <w:r w:rsidRPr="006F537D">
        <w:t>FDA-</w:t>
      </w:r>
      <w:r w:rsidR="00B315B8">
        <w:t>a</w:t>
      </w:r>
      <w:r w:rsidRPr="006F537D">
        <w:t>pproved Indications</w:t>
      </w:r>
    </w:p>
    <w:p w14:paraId="02656302" w14:textId="77777777" w:rsidR="00661C90" w:rsidRPr="006F537D" w:rsidRDefault="00661C90" w:rsidP="00A07349">
      <w:pPr>
        <w:pStyle w:val="Heading4"/>
      </w:pPr>
      <w:r w:rsidRPr="006F537D">
        <w:t>First-Line Advanced Renal Cell Carcinoma</w:t>
      </w:r>
    </w:p>
    <w:p w14:paraId="0693EA2B" w14:textId="77777777" w:rsidR="00661C90" w:rsidRPr="00A07349" w:rsidRDefault="00661C90" w:rsidP="00A07349">
      <w:pPr>
        <w:pStyle w:val="ListParagraph"/>
        <w:numPr>
          <w:ilvl w:val="0"/>
          <w:numId w:val="37"/>
        </w:numPr>
      </w:pPr>
      <w:r w:rsidRPr="00A07349">
        <w:t>Inlyta in combination with avelumab is indicated for the first-line treatment of patients with advanced renal cell carcinoma (RCC).</w:t>
      </w:r>
    </w:p>
    <w:p w14:paraId="738B2E11" w14:textId="77777777" w:rsidR="00661C90" w:rsidRPr="00A07349" w:rsidRDefault="00661C90" w:rsidP="00A07349">
      <w:pPr>
        <w:pStyle w:val="ListParagraph"/>
        <w:numPr>
          <w:ilvl w:val="0"/>
          <w:numId w:val="37"/>
        </w:numPr>
      </w:pPr>
      <w:r w:rsidRPr="00A07349">
        <w:t>Inlyta in combination with pembrolizumab is indicated for the first-line treatment of patients with advanced renal cell carcinoma.</w:t>
      </w:r>
    </w:p>
    <w:p w14:paraId="480DC061" w14:textId="77777777" w:rsidR="00661C90" w:rsidRPr="006F537D" w:rsidRDefault="00661C90" w:rsidP="00A07349">
      <w:pPr>
        <w:pStyle w:val="Heading4"/>
      </w:pPr>
      <w:r w:rsidRPr="006F537D">
        <w:t>Second-Line Advanced Renal Cell Carcinoma</w:t>
      </w:r>
    </w:p>
    <w:p w14:paraId="3058A5F8" w14:textId="1EDD2FC6" w:rsidR="005C778C" w:rsidRPr="001C51F6" w:rsidRDefault="00661C90" w:rsidP="00A07349">
      <w:pPr>
        <w:pStyle w:val="BodyText"/>
        <w:rPr>
          <w:color w:val="000000"/>
        </w:rPr>
      </w:pPr>
      <w:r w:rsidRPr="006F537D">
        <w:t>Inlyta as a single agent is indicated for the treatment of advanced renal cell carcinoma (RCC) after failure of one prior systemic therapy</w:t>
      </w:r>
      <w:r w:rsidRPr="001C51F6">
        <w:rPr>
          <w:color w:val="000000"/>
        </w:rPr>
        <w:t>.</w:t>
      </w:r>
    </w:p>
    <w:p w14:paraId="0B5EC236" w14:textId="4665A774" w:rsidR="0044763A" w:rsidRPr="006F537D" w:rsidRDefault="009F2EF1" w:rsidP="0044763A">
      <w:pPr>
        <w:pStyle w:val="Heading3"/>
      </w:pPr>
      <w:r w:rsidRPr="006F537D">
        <w:t>Compendial Uses</w:t>
      </w:r>
    </w:p>
    <w:p w14:paraId="6C6CB8A9" w14:textId="77777777" w:rsidR="00661C90" w:rsidRPr="006F537D" w:rsidRDefault="00661C90" w:rsidP="00B315B8">
      <w:pPr>
        <w:pStyle w:val="ListParagraph"/>
        <w:numPr>
          <w:ilvl w:val="0"/>
          <w:numId w:val="35"/>
        </w:numPr>
      </w:pPr>
      <w:r w:rsidRPr="006F537D">
        <w:t>Relapsed or stage IV renal cell carcinoma</w:t>
      </w:r>
    </w:p>
    <w:p w14:paraId="21F51D70" w14:textId="77777777" w:rsidR="00661C90" w:rsidRPr="006F537D" w:rsidRDefault="00661C90" w:rsidP="00B315B8">
      <w:pPr>
        <w:pStyle w:val="ListParagraph"/>
        <w:numPr>
          <w:ilvl w:val="0"/>
          <w:numId w:val="35"/>
        </w:numPr>
      </w:pPr>
      <w:r w:rsidRPr="006F537D">
        <w:lastRenderedPageBreak/>
        <w:t xml:space="preserve">Papillary, </w:t>
      </w:r>
      <w:proofErr w:type="spellStart"/>
      <w:r w:rsidRPr="006F537D">
        <w:t>Oncocytic</w:t>
      </w:r>
      <w:proofErr w:type="spellEnd"/>
      <w:r w:rsidRPr="006F537D">
        <w:t xml:space="preserve"> (</w:t>
      </w:r>
      <w:proofErr w:type="spellStart"/>
      <w:r w:rsidRPr="006F537D">
        <w:t>Hürthle</w:t>
      </w:r>
      <w:proofErr w:type="spellEnd"/>
      <w:r w:rsidRPr="006F537D">
        <w:t xml:space="preserve"> cell) or Follicular thyroid carcinoma</w:t>
      </w:r>
    </w:p>
    <w:p w14:paraId="537716D8" w14:textId="77777777" w:rsidR="00661C90" w:rsidRDefault="00661C90" w:rsidP="00B315B8">
      <w:pPr>
        <w:pStyle w:val="ListParagraph"/>
        <w:numPr>
          <w:ilvl w:val="0"/>
          <w:numId w:val="35"/>
        </w:numPr>
      </w:pPr>
      <w:r w:rsidRPr="006F537D">
        <w:t>Soft tissue sarcomas: alveolar soft part sarcoma (ASPS)</w:t>
      </w:r>
    </w:p>
    <w:p w14:paraId="1F5A49DD" w14:textId="0F97A322" w:rsidR="001D5958" w:rsidRPr="006F537D" w:rsidRDefault="001D5958" w:rsidP="00B315B8">
      <w:pPr>
        <w:pStyle w:val="ListParagraph"/>
        <w:numPr>
          <w:ilvl w:val="0"/>
          <w:numId w:val="35"/>
        </w:numPr>
      </w:pPr>
      <w:r>
        <w:t xml:space="preserve">Thymic </w:t>
      </w:r>
      <w:r w:rsidR="00651202">
        <w:t>c</w:t>
      </w:r>
      <w:r>
        <w:t>arcinoma</w:t>
      </w:r>
    </w:p>
    <w:p w14:paraId="4CABF22E" w14:textId="6BB7CB16" w:rsidR="00661C90" w:rsidRPr="006F537D" w:rsidRDefault="00661C90" w:rsidP="00661C90">
      <w:pPr>
        <w:pStyle w:val="BodyText"/>
      </w:pPr>
      <w:r w:rsidRPr="006F537D">
        <w:t xml:space="preserve">All other indications are considered experimental/investigational and </w:t>
      </w:r>
      <w:r w:rsidRPr="006F537D">
        <w:rPr>
          <w:rFonts w:eastAsia="Arial"/>
        </w:rPr>
        <w:t>not medically necessary.</w:t>
      </w:r>
    </w:p>
    <w:p w14:paraId="4A5B15F8" w14:textId="17362C0D" w:rsidR="00006174" w:rsidRPr="006F537D" w:rsidRDefault="00006174" w:rsidP="00686CB6">
      <w:pPr>
        <w:pStyle w:val="Heading2"/>
        <w:tabs>
          <w:tab w:val="left" w:pos="9690"/>
        </w:tabs>
      </w:pPr>
      <w:r w:rsidRPr="006F537D">
        <w:t>Prescriber Specialties</w:t>
      </w:r>
    </w:p>
    <w:p w14:paraId="64E9D90C" w14:textId="4508DC01" w:rsidR="00661C90" w:rsidRPr="006F537D" w:rsidRDefault="00661C90" w:rsidP="00661C90">
      <w:pPr>
        <w:pStyle w:val="BodyText"/>
      </w:pPr>
      <w:r w:rsidRPr="006F537D">
        <w:t>This medication must be prescribed by or in consultation with an oncologist.</w:t>
      </w:r>
    </w:p>
    <w:p w14:paraId="62880A8E" w14:textId="6F3A0D1B" w:rsidR="00661C90" w:rsidRPr="00471239" w:rsidRDefault="00661C90" w:rsidP="00661C90">
      <w:pPr>
        <w:pStyle w:val="Heading2"/>
      </w:pPr>
      <w:r w:rsidRPr="00471239">
        <w:t>Coverage Criteria</w:t>
      </w:r>
    </w:p>
    <w:p w14:paraId="4B48ED7B" w14:textId="1770E650" w:rsidR="00661C90" w:rsidRPr="00471239" w:rsidRDefault="00661C90" w:rsidP="00661C90">
      <w:pPr>
        <w:pStyle w:val="Heading3"/>
      </w:pPr>
      <w:r w:rsidRPr="00471239">
        <w:t>Renal Cell Carcinoma</w:t>
      </w:r>
    </w:p>
    <w:p w14:paraId="47CB7754" w14:textId="77777777" w:rsidR="00661C90" w:rsidRPr="006F537D" w:rsidRDefault="00661C90" w:rsidP="00661C90">
      <w:pPr>
        <w:pStyle w:val="BodyText"/>
      </w:pPr>
      <w:r w:rsidRPr="006F537D">
        <w:t>Authorization of 12 months may be granted for treatment of advanced, relapsed, or stage IV renal cell carcinoma when any of the following criteria is met:</w:t>
      </w:r>
    </w:p>
    <w:p w14:paraId="63AD9DB7" w14:textId="04F6EF66" w:rsidR="00661C90" w:rsidRPr="006F537D" w:rsidRDefault="00661C90" w:rsidP="00B315B8">
      <w:pPr>
        <w:pStyle w:val="ListParagraph"/>
        <w:numPr>
          <w:ilvl w:val="0"/>
          <w:numId w:val="36"/>
        </w:numPr>
      </w:pPr>
      <w:r w:rsidRPr="006F537D">
        <w:t>Inlyta will be used as a single agent</w:t>
      </w:r>
    </w:p>
    <w:p w14:paraId="16886B45" w14:textId="77777777" w:rsidR="00661C90" w:rsidRPr="006F537D" w:rsidRDefault="00661C90" w:rsidP="00B315B8">
      <w:pPr>
        <w:pStyle w:val="ListParagraph"/>
        <w:numPr>
          <w:ilvl w:val="0"/>
          <w:numId w:val="36"/>
        </w:numPr>
      </w:pPr>
      <w:r w:rsidRPr="006F537D">
        <w:t>Inlyta will be used in combination with pembrolizumab</w:t>
      </w:r>
    </w:p>
    <w:p w14:paraId="32C8905D" w14:textId="4904F6B5" w:rsidR="00A501AC" w:rsidRDefault="00661C90" w:rsidP="00A07349">
      <w:pPr>
        <w:pStyle w:val="ListParagraph"/>
        <w:numPr>
          <w:ilvl w:val="0"/>
          <w:numId w:val="36"/>
        </w:numPr>
      </w:pPr>
      <w:r w:rsidRPr="006F537D">
        <w:t>Inlyta will be used as first-line treatment in combination with avelumab</w:t>
      </w:r>
    </w:p>
    <w:p w14:paraId="513716A1" w14:textId="61405B3C" w:rsidR="002D331C" w:rsidRPr="006F537D" w:rsidRDefault="002D331C" w:rsidP="002D331C">
      <w:pPr>
        <w:pStyle w:val="Heading3"/>
      </w:pPr>
      <w:r w:rsidRPr="006F537D">
        <w:t xml:space="preserve">Papillary, </w:t>
      </w:r>
      <w:proofErr w:type="spellStart"/>
      <w:r w:rsidRPr="006F537D">
        <w:t>Oncocytic</w:t>
      </w:r>
      <w:proofErr w:type="spellEnd"/>
      <w:r w:rsidRPr="006F537D">
        <w:t xml:space="preserve"> (</w:t>
      </w:r>
      <w:proofErr w:type="spellStart"/>
      <w:r w:rsidRPr="006F537D">
        <w:t>Hürthle</w:t>
      </w:r>
      <w:proofErr w:type="spellEnd"/>
      <w:r w:rsidRPr="006F537D">
        <w:t xml:space="preserve"> cell), or Follicular Thyroid Carcinoma</w:t>
      </w:r>
    </w:p>
    <w:p w14:paraId="496BF914" w14:textId="77777777" w:rsidR="002D331C" w:rsidRPr="006F537D" w:rsidRDefault="002D331C" w:rsidP="002D331C">
      <w:pPr>
        <w:pStyle w:val="BodyText"/>
      </w:pPr>
      <w:r w:rsidRPr="006F537D">
        <w:t xml:space="preserve">Authorization of 12 months may be granted for treatment of progressive and/or symptomatic papillary, </w:t>
      </w:r>
      <w:proofErr w:type="spellStart"/>
      <w:r w:rsidRPr="006F537D">
        <w:t>Oncocytic</w:t>
      </w:r>
      <w:proofErr w:type="spellEnd"/>
      <w:r w:rsidRPr="006F537D">
        <w:t xml:space="preserve"> (</w:t>
      </w:r>
      <w:proofErr w:type="spellStart"/>
      <w:r w:rsidRPr="006F537D">
        <w:t>Hürthle</w:t>
      </w:r>
      <w:proofErr w:type="spellEnd"/>
      <w:r w:rsidRPr="006F537D">
        <w:t xml:space="preserve"> cell), or follicular thyroid carcinoma that is not amenable to radioactive iodine (RAI) therapy.</w:t>
      </w:r>
    </w:p>
    <w:p w14:paraId="4E3F3EE5" w14:textId="7CF8F445" w:rsidR="002D331C" w:rsidRPr="006F537D" w:rsidRDefault="002D331C" w:rsidP="002D331C">
      <w:pPr>
        <w:pStyle w:val="Heading3"/>
      </w:pPr>
      <w:r w:rsidRPr="006F537D">
        <w:t>Soft Tissue Sarcomas</w:t>
      </w:r>
    </w:p>
    <w:p w14:paraId="6B5CADBB" w14:textId="7B6C8B80" w:rsidR="002D331C" w:rsidRPr="006F537D" w:rsidRDefault="002D331C" w:rsidP="002D331C">
      <w:pPr>
        <w:pStyle w:val="BodyText"/>
      </w:pPr>
      <w:r w:rsidRPr="006F537D">
        <w:t>Authorization of 12 months may be granted for treatment of alveolar soft part sarcoma (ASPS) subtype of soft tissue sarcoma when used in combination with pembrolizumab.</w:t>
      </w:r>
    </w:p>
    <w:p w14:paraId="366C8A54" w14:textId="75BFF559" w:rsidR="001D5958" w:rsidRDefault="001D5958">
      <w:pPr>
        <w:pStyle w:val="Heading3"/>
      </w:pPr>
      <w:r>
        <w:t>Thymic Carcinoma</w:t>
      </w:r>
    </w:p>
    <w:p w14:paraId="7440485D" w14:textId="77777777" w:rsidR="00F33EC0" w:rsidRDefault="001D5958">
      <w:pPr>
        <w:pStyle w:val="BodyText"/>
      </w:pPr>
      <w:r>
        <w:t>Authorization of 12 months may be granted for treatment of thymic ca</w:t>
      </w:r>
      <w:r w:rsidR="00383B8B">
        <w:t>r</w:t>
      </w:r>
      <w:r>
        <w:t>cinoma when</w:t>
      </w:r>
      <w:r w:rsidR="00F33EC0">
        <w:t xml:space="preserve"> both of the following criteria are met:</w:t>
      </w:r>
    </w:p>
    <w:p w14:paraId="05791224" w14:textId="27840374" w:rsidR="00F33EC0" w:rsidRDefault="00F33EC0" w:rsidP="00F33EC0">
      <w:pPr>
        <w:pStyle w:val="ListParagraph"/>
        <w:numPr>
          <w:ilvl w:val="0"/>
          <w:numId w:val="39"/>
        </w:numPr>
      </w:pPr>
      <w:r>
        <w:t>The requested medication will be used</w:t>
      </w:r>
      <w:r w:rsidR="006A6D6E">
        <w:t xml:space="preserve"> </w:t>
      </w:r>
      <w:r w:rsidR="006A6D6E" w:rsidRPr="009F2AD5">
        <w:t>as subsequent therapy</w:t>
      </w:r>
      <w:r w:rsidR="006A6D6E">
        <w:t xml:space="preserve"> or</w:t>
      </w:r>
      <w:r>
        <w:t xml:space="preserve"> in members </w:t>
      </w:r>
      <w:r w:rsidRPr="009F2AD5">
        <w:t xml:space="preserve">who </w:t>
      </w:r>
      <w:r>
        <w:t>cannot</w:t>
      </w:r>
      <w:r w:rsidRPr="009F2AD5">
        <w:t xml:space="preserve"> tolerate first-line combination regimens</w:t>
      </w:r>
      <w:r>
        <w:t>.</w:t>
      </w:r>
    </w:p>
    <w:p w14:paraId="52A6B37C" w14:textId="0E85444C" w:rsidR="001D5958" w:rsidRPr="001D5958" w:rsidRDefault="00F33EC0" w:rsidP="00471239">
      <w:pPr>
        <w:pStyle w:val="BodyText"/>
        <w:numPr>
          <w:ilvl w:val="0"/>
          <w:numId w:val="39"/>
        </w:numPr>
      </w:pPr>
      <w:r>
        <w:t xml:space="preserve">The requested medication will be </w:t>
      </w:r>
      <w:r w:rsidR="001D5958">
        <w:t>used in combination with avelumab.</w:t>
      </w:r>
    </w:p>
    <w:p w14:paraId="5D81D744" w14:textId="77777777" w:rsidR="002D331C" w:rsidRPr="006F537D" w:rsidRDefault="002D331C" w:rsidP="0080167F">
      <w:pPr>
        <w:pStyle w:val="Heading2"/>
        <w:keepNext w:val="0"/>
        <w:widowControl w:val="0"/>
      </w:pPr>
      <w:r w:rsidRPr="006F537D">
        <w:lastRenderedPageBreak/>
        <w:t>Continuation of Therapy</w:t>
      </w:r>
    </w:p>
    <w:p w14:paraId="450FAAE9" w14:textId="539DD2A8" w:rsidR="002D331C" w:rsidRPr="002D331C" w:rsidRDefault="002D331C" w:rsidP="0080167F">
      <w:pPr>
        <w:widowControl w:val="0"/>
      </w:pPr>
      <w:r w:rsidRPr="006F537D">
        <w:t>Authorization of 12 months may be granted for continued treatment in members requesting reauthorization for an indication in the Coverage Criteria section, specific to diagnosis, when there is no evidence of unacceptable toxicity or disease progression while on the current regimen</w:t>
      </w:r>
      <w:r>
        <w:t>.</w:t>
      </w:r>
    </w:p>
    <w:p w14:paraId="10DA4309" w14:textId="096A10B5" w:rsidR="00FF66BF" w:rsidRPr="006F537D" w:rsidRDefault="00FF66BF" w:rsidP="00FF66BF">
      <w:pPr>
        <w:pStyle w:val="Heading2"/>
      </w:pPr>
      <w:r w:rsidRPr="006F537D">
        <w:t>References</w:t>
      </w:r>
    </w:p>
    <w:p w14:paraId="0D3C9210" w14:textId="77777777" w:rsidR="00686CB6" w:rsidRPr="006F537D" w:rsidRDefault="00686CB6" w:rsidP="00686CB6">
      <w:pPr>
        <w:pStyle w:val="ReferenceOrdered"/>
      </w:pPr>
      <w:r w:rsidRPr="006F537D">
        <w:t>Inlyta [package insert]. New York, NY: Pfizer Inc., September 2022.</w:t>
      </w:r>
    </w:p>
    <w:p w14:paraId="47E1A10C" w14:textId="2999D234" w:rsidR="00C44990" w:rsidRPr="00511E7A" w:rsidRDefault="00686CB6" w:rsidP="001C51F6">
      <w:pPr>
        <w:pStyle w:val="ReferenceOrdered"/>
      </w:pPr>
      <w:r w:rsidRPr="006F537D">
        <w:t>The NCCN Drugs &amp; Biologics Compendium</w:t>
      </w:r>
      <w:r w:rsidRPr="00414CD8">
        <w:rPr>
          <w:vertAlign w:val="superscript"/>
        </w:rPr>
        <w:t>®</w:t>
      </w:r>
      <w:r w:rsidRPr="006F537D">
        <w:t xml:space="preserve"> © 2024 National Comprehensive Cancer Network, Inc. http://www.nccn.org. Accessed </w:t>
      </w:r>
      <w:r w:rsidR="001D5958">
        <w:t>November</w:t>
      </w:r>
      <w:r w:rsidR="001D5958" w:rsidRPr="006F537D">
        <w:t xml:space="preserve"> </w:t>
      </w:r>
      <w:r w:rsidRPr="006F537D">
        <w:t>7, 2024.</w:t>
      </w:r>
    </w:p>
    <w:sectPr w:rsidR="00C44990" w:rsidRPr="00511E7A" w:rsidSect="00AA1E6A">
      <w:headerReference w:type="first" r:id="rId17"/>
      <w:footerReference w:type="first" r:id="rId18"/>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8A6DC" w14:textId="77777777" w:rsidR="00A05C84" w:rsidRDefault="00A05C84">
      <w:r>
        <w:separator/>
      </w:r>
    </w:p>
  </w:endnote>
  <w:endnote w:type="continuationSeparator" w:id="0">
    <w:p w14:paraId="0AA6F670" w14:textId="77777777" w:rsidR="00A05C84" w:rsidRDefault="00A05C84">
      <w:r>
        <w:continuationSeparator/>
      </w:r>
    </w:p>
  </w:endnote>
  <w:endnote w:type="continuationNotice" w:id="1">
    <w:p w14:paraId="0233946C" w14:textId="77777777" w:rsidR="00A05C84" w:rsidRDefault="00A05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094FF" w14:textId="4C527D5F" w:rsidR="00686CB6" w:rsidRPr="00EC47B6" w:rsidRDefault="00686CB6" w:rsidP="00686CB6">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727AA" w:rsidRPr="00471239">
      <w:rPr>
        <w:rFonts w:cs="Arial"/>
        <w:noProof/>
        <w:sz w:val="16"/>
        <w:szCs w:val="16"/>
      </w:rPr>
      <w:t xml:space="preserve">Inlyta SGM 2079-A </w:t>
    </w:r>
    <w:r w:rsidR="003A00F3">
      <w:rPr>
        <w:rFonts w:cs="Arial"/>
        <w:noProof/>
        <w:sz w:val="16"/>
        <w:szCs w:val="16"/>
      </w:rPr>
      <w:t>P</w:t>
    </w:r>
    <w:r w:rsidR="00E727AA" w:rsidRPr="00471239">
      <w:rPr>
        <w:rFonts w:cs="Arial"/>
        <w:noProof/>
        <w:sz w:val="16"/>
        <w:szCs w:val="16"/>
      </w:rPr>
      <w:t>2024a</w:t>
    </w:r>
    <w:r w:rsidR="00E727AA">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2024 CVS Caremark. All rights reserved.</w:t>
    </w:r>
  </w:p>
  <w:p w14:paraId="0F80D348" w14:textId="3271F459" w:rsidR="00686CB6" w:rsidRPr="00EC47B6" w:rsidRDefault="00686CB6" w:rsidP="00686CB6">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789C4B74" w14:textId="5C68F641" w:rsidR="00686CB6" w:rsidRPr="00686CB6" w:rsidRDefault="00686CB6" w:rsidP="0050122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08A6ED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727AA" w:rsidRPr="00471239">
      <w:rPr>
        <w:rFonts w:cs="Arial"/>
        <w:noProof/>
        <w:sz w:val="16"/>
        <w:szCs w:val="16"/>
      </w:rPr>
      <w:t>Inlyta</w:t>
    </w:r>
    <w:r w:rsidR="00E727AA">
      <w:rPr>
        <w:rFonts w:cs="Arial"/>
        <w:noProof/>
        <w:snapToGrid w:val="0"/>
        <w:color w:val="000000"/>
        <w:sz w:val="16"/>
        <w:szCs w:val="16"/>
      </w:rPr>
      <w:t xml:space="preserve"> SGM 2079-A</w:t>
    </w:r>
    <w:r w:rsidR="00E727AA" w:rsidRPr="00471239">
      <w:rPr>
        <w:rFonts w:cs="Arial"/>
        <w:noProof/>
        <w:sz w:val="16"/>
        <w:szCs w:val="16"/>
      </w:rPr>
      <w:t xml:space="preserve"> </w:t>
    </w:r>
    <w:r w:rsidR="003A00F3">
      <w:rPr>
        <w:rFonts w:cs="Arial"/>
        <w:noProof/>
        <w:sz w:val="16"/>
        <w:szCs w:val="16"/>
      </w:rPr>
      <w:t>P</w:t>
    </w:r>
    <w:r w:rsidR="00E727AA" w:rsidRPr="00471239">
      <w:rPr>
        <w:rFonts w:cs="Arial"/>
        <w:noProof/>
        <w:sz w:val="16"/>
        <w:szCs w:val="16"/>
      </w:rPr>
      <w:t>2024a</w:t>
    </w:r>
    <w:r w:rsidR="00E727AA">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7104D6CF"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5C923B96" w:rsidR="00F75C81" w:rsidRPr="00511E7A" w:rsidRDefault="00C36B72" w:rsidP="00511E7A">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446BF59"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E727AA" w:rsidRPr="00471239">
      <w:rPr>
        <w:rFonts w:cs="Arial"/>
        <w:noProof/>
        <w:sz w:val="16"/>
        <w:szCs w:val="16"/>
      </w:rPr>
      <w:t xml:space="preserve">Inlyta SGM 2079-A </w:t>
    </w:r>
    <w:r w:rsidR="003A00F3">
      <w:rPr>
        <w:rFonts w:cs="Arial"/>
        <w:noProof/>
        <w:sz w:val="16"/>
        <w:szCs w:val="16"/>
      </w:rPr>
      <w:t>P</w:t>
    </w:r>
    <w:r w:rsidR="00E727AA" w:rsidRPr="00471239">
      <w:rPr>
        <w:rFonts w:cs="Arial"/>
        <w:noProof/>
        <w:sz w:val="16"/>
        <w:szCs w:val="16"/>
      </w:rPr>
      <w:t>2024a</w:t>
    </w:r>
    <w:r w:rsidR="00E727AA">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58B7BB25"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2DFB2A2" w:rsidR="00ED04EC" w:rsidRPr="00F50D98" w:rsidRDefault="00F50D98" w:rsidP="0050122B">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FB489" w14:textId="4639BDC7" w:rsidR="00686CB6" w:rsidRPr="00686CB6" w:rsidRDefault="00686CB6" w:rsidP="00686C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7A7B2" w14:textId="77777777" w:rsidR="00A05C84" w:rsidRDefault="00A05C84">
      <w:r>
        <w:separator/>
      </w:r>
    </w:p>
  </w:footnote>
  <w:footnote w:type="continuationSeparator" w:id="0">
    <w:p w14:paraId="475F993E" w14:textId="77777777" w:rsidR="00A05C84" w:rsidRDefault="00A05C84">
      <w:r>
        <w:continuationSeparator/>
      </w:r>
    </w:p>
  </w:footnote>
  <w:footnote w:type="continuationNotice" w:id="1">
    <w:p w14:paraId="7FDE1DD3" w14:textId="77777777" w:rsidR="00A05C84" w:rsidRDefault="00A05C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686CB6" w:rsidRPr="00BD1CC1" w14:paraId="649E1134" w14:textId="77777777" w:rsidTr="003B47CC">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4F48BA4" w14:textId="77777777" w:rsidR="00686CB6" w:rsidRPr="00EC47B6" w:rsidRDefault="00686CB6" w:rsidP="00686CB6">
          <w:pPr>
            <w:pStyle w:val="RefTableData"/>
          </w:pPr>
          <w:r w:rsidRPr="00F246C7">
            <w:t>Reference number(s</w:t>
          </w:r>
          <w:r w:rsidRPr="00EC47B6">
            <w:t>)</w:t>
          </w:r>
        </w:p>
      </w:tc>
    </w:tr>
    <w:tr w:rsidR="00686CB6" w:rsidRPr="00BD1CC1" w14:paraId="694603F1" w14:textId="77777777" w:rsidTr="003B47CC">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1F06F732" w14:textId="77777777" w:rsidR="00686CB6" w:rsidRPr="00FF66BF" w:rsidRDefault="00686CB6" w:rsidP="00686CB6">
          <w:pPr>
            <w:pStyle w:val="RefTableData"/>
          </w:pPr>
          <w:r>
            <w:t>2079-A</w:t>
          </w:r>
        </w:p>
      </w:tc>
    </w:tr>
  </w:tbl>
  <w:p w14:paraId="35B4D24C" w14:textId="77777777" w:rsidR="00686CB6" w:rsidRDefault="00686CB6" w:rsidP="00686C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6F537D" w:rsidRDefault="00ED04EC" w:rsidP="00ED04EC">
          <w:pPr>
            <w:pStyle w:val="Header"/>
            <w:rPr>
              <w:rFonts w:cs="Arial"/>
              <w:sz w:val="16"/>
              <w:szCs w:val="16"/>
            </w:rPr>
          </w:pPr>
          <w:r w:rsidRPr="006F537D">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6F118BA1" w:rsidR="00ED04EC" w:rsidRPr="006F537D" w:rsidRDefault="00686CB6" w:rsidP="00686CB6">
          <w:pPr>
            <w:pStyle w:val="RefTableData"/>
          </w:pPr>
          <w:r w:rsidRPr="006F537D">
            <w:t>2079-A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686CB6" w:rsidRPr="00BD1CC1" w14:paraId="439F9248" w14:textId="77777777" w:rsidTr="003B47CC">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346F130" w14:textId="77777777" w:rsidR="00686CB6" w:rsidRPr="00EC47B6" w:rsidRDefault="00686CB6" w:rsidP="00686CB6">
          <w:pPr>
            <w:pStyle w:val="RefTableData"/>
          </w:pPr>
          <w:r w:rsidRPr="00F246C7">
            <w:t>Reference number(s</w:t>
          </w:r>
          <w:r w:rsidRPr="00EC47B6">
            <w:t>)</w:t>
          </w:r>
        </w:p>
      </w:tc>
    </w:tr>
    <w:tr w:rsidR="00686CB6" w:rsidRPr="00BD1CC1" w14:paraId="4B87705E" w14:textId="77777777" w:rsidTr="003B47CC">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BBBB7CF" w14:textId="77777777" w:rsidR="00686CB6" w:rsidRPr="00FF66BF" w:rsidRDefault="00686CB6" w:rsidP="00686CB6">
          <w:pPr>
            <w:pStyle w:val="RefTableData"/>
          </w:pPr>
          <w:r>
            <w:t>2079-A</w:t>
          </w:r>
        </w:p>
      </w:tc>
    </w:tr>
  </w:tbl>
  <w:p w14:paraId="03A12530" w14:textId="77777777" w:rsidR="006D5309" w:rsidRPr="00522049" w:rsidRDefault="006D5309">
    <w:pP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B2A51"/>
    <w:multiLevelType w:val="hybridMultilevel"/>
    <w:tmpl w:val="39BC3FC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D9B618C"/>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2A0691A"/>
    <w:multiLevelType w:val="hybridMultilevel"/>
    <w:tmpl w:val="73C6DE2A"/>
    <w:lvl w:ilvl="0" w:tplc="79703EEC">
      <w:start w:val="1"/>
      <w:numFmt w:val="lowerLetter"/>
      <w:lvlText w:val="%1."/>
      <w:lvlJc w:val="left"/>
      <w:pPr>
        <w:ind w:left="1815" w:hanging="360"/>
      </w:pPr>
    </w:lvl>
    <w:lvl w:ilvl="1" w:tplc="04090019">
      <w:start w:val="1"/>
      <w:numFmt w:val="lowerLetter"/>
      <w:lvlText w:val="%2."/>
      <w:lvlJc w:val="left"/>
      <w:pPr>
        <w:ind w:left="2535" w:hanging="360"/>
      </w:pPr>
    </w:lvl>
    <w:lvl w:ilvl="2" w:tplc="0409001B">
      <w:start w:val="1"/>
      <w:numFmt w:val="lowerRoman"/>
      <w:lvlText w:val="%3."/>
      <w:lvlJc w:val="right"/>
      <w:pPr>
        <w:ind w:left="3255" w:hanging="180"/>
      </w:pPr>
    </w:lvl>
    <w:lvl w:ilvl="3" w:tplc="0409000F">
      <w:start w:val="1"/>
      <w:numFmt w:val="decimal"/>
      <w:lvlText w:val="%4."/>
      <w:lvlJc w:val="left"/>
      <w:pPr>
        <w:ind w:left="3975" w:hanging="360"/>
      </w:pPr>
    </w:lvl>
    <w:lvl w:ilvl="4" w:tplc="04090019">
      <w:start w:val="1"/>
      <w:numFmt w:val="lowerLetter"/>
      <w:lvlText w:val="%5."/>
      <w:lvlJc w:val="left"/>
      <w:pPr>
        <w:ind w:left="4695" w:hanging="360"/>
      </w:pPr>
    </w:lvl>
    <w:lvl w:ilvl="5" w:tplc="0409001B">
      <w:start w:val="1"/>
      <w:numFmt w:val="lowerRoman"/>
      <w:lvlText w:val="%6."/>
      <w:lvlJc w:val="right"/>
      <w:pPr>
        <w:ind w:left="5415" w:hanging="180"/>
      </w:pPr>
    </w:lvl>
    <w:lvl w:ilvl="6" w:tplc="0409000F">
      <w:start w:val="1"/>
      <w:numFmt w:val="decimal"/>
      <w:lvlText w:val="%7."/>
      <w:lvlJc w:val="left"/>
      <w:pPr>
        <w:ind w:left="6135" w:hanging="360"/>
      </w:pPr>
    </w:lvl>
    <w:lvl w:ilvl="7" w:tplc="04090019">
      <w:start w:val="1"/>
      <w:numFmt w:val="lowerLetter"/>
      <w:lvlText w:val="%8."/>
      <w:lvlJc w:val="left"/>
      <w:pPr>
        <w:ind w:left="6855" w:hanging="360"/>
      </w:pPr>
    </w:lvl>
    <w:lvl w:ilvl="8" w:tplc="0409001B">
      <w:start w:val="1"/>
      <w:numFmt w:val="lowerRoman"/>
      <w:lvlText w:val="%9."/>
      <w:lvlJc w:val="right"/>
      <w:pPr>
        <w:ind w:left="7575" w:hanging="180"/>
      </w:p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7C2CEA"/>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324460"/>
    <w:multiLevelType w:val="hybridMultilevel"/>
    <w:tmpl w:val="CB7C073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494C70"/>
    <w:multiLevelType w:val="hybridMultilevel"/>
    <w:tmpl w:val="5CE657C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AC156A"/>
    <w:multiLevelType w:val="hybridMultilevel"/>
    <w:tmpl w:val="6DEA2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AF2634"/>
    <w:multiLevelType w:val="hybridMultilevel"/>
    <w:tmpl w:val="983E27EC"/>
    <w:lvl w:ilvl="0" w:tplc="96DACCFC">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D4183D"/>
    <w:multiLevelType w:val="hybridMultilevel"/>
    <w:tmpl w:val="2842B4E2"/>
    <w:lvl w:ilvl="0" w:tplc="B13E3776">
      <w:start w:val="1"/>
      <w:numFmt w:val="decimal"/>
      <w:lvlText w:val="%1."/>
      <w:lvlJc w:val="left"/>
      <w:pPr>
        <w:ind w:left="1440" w:hanging="360"/>
      </w:pPr>
      <w:rPr>
        <w:vertAlign w:val="baseline"/>
      </w:rPr>
    </w:lvl>
    <w:lvl w:ilvl="1" w:tplc="F384C12E">
      <w:start w:val="1"/>
      <w:numFmt w:val="lowerLetter"/>
      <w:lvlText w:val="%2."/>
      <w:lvlJc w:val="left"/>
      <w:pPr>
        <w:ind w:left="2160" w:hanging="360"/>
      </w:pPr>
      <w:rPr>
        <w:vertAlign w:val="baseline"/>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4" w15:restartNumberingAfterBreak="0">
    <w:nsid w:val="6B586B99"/>
    <w:multiLevelType w:val="hybridMultilevel"/>
    <w:tmpl w:val="E1A86904"/>
    <w:lvl w:ilvl="0" w:tplc="4BBCF88E">
      <w:start w:val="1"/>
      <w:numFmt w:val="decimal"/>
      <w:lvlText w:val="%1."/>
      <w:lvlJc w:val="left"/>
      <w:pPr>
        <w:ind w:left="1455" w:hanging="360"/>
      </w:pPr>
      <w:rPr>
        <w:color w:val="000000"/>
      </w:rPr>
    </w:lvl>
    <w:lvl w:ilvl="1" w:tplc="04090019">
      <w:start w:val="1"/>
      <w:numFmt w:val="lowerLetter"/>
      <w:lvlText w:val="%2."/>
      <w:lvlJc w:val="left"/>
      <w:pPr>
        <w:ind w:left="2175" w:hanging="360"/>
      </w:pPr>
    </w:lvl>
    <w:lvl w:ilvl="2" w:tplc="0409001B">
      <w:start w:val="1"/>
      <w:numFmt w:val="lowerRoman"/>
      <w:lvlText w:val="%3."/>
      <w:lvlJc w:val="right"/>
      <w:pPr>
        <w:ind w:left="2895" w:hanging="180"/>
      </w:pPr>
    </w:lvl>
    <w:lvl w:ilvl="3" w:tplc="0409000F">
      <w:start w:val="1"/>
      <w:numFmt w:val="decimal"/>
      <w:lvlText w:val="%4."/>
      <w:lvlJc w:val="left"/>
      <w:pPr>
        <w:ind w:left="3615" w:hanging="360"/>
      </w:pPr>
    </w:lvl>
    <w:lvl w:ilvl="4" w:tplc="04090019">
      <w:start w:val="1"/>
      <w:numFmt w:val="lowerLetter"/>
      <w:lvlText w:val="%5."/>
      <w:lvlJc w:val="left"/>
      <w:pPr>
        <w:ind w:left="4335" w:hanging="360"/>
      </w:pPr>
    </w:lvl>
    <w:lvl w:ilvl="5" w:tplc="0409001B">
      <w:start w:val="1"/>
      <w:numFmt w:val="lowerRoman"/>
      <w:lvlText w:val="%6."/>
      <w:lvlJc w:val="right"/>
      <w:pPr>
        <w:ind w:left="5055" w:hanging="180"/>
      </w:pPr>
    </w:lvl>
    <w:lvl w:ilvl="6" w:tplc="0409000F">
      <w:start w:val="1"/>
      <w:numFmt w:val="decimal"/>
      <w:lvlText w:val="%7."/>
      <w:lvlJc w:val="left"/>
      <w:pPr>
        <w:ind w:left="5775" w:hanging="360"/>
      </w:pPr>
    </w:lvl>
    <w:lvl w:ilvl="7" w:tplc="04090019">
      <w:start w:val="1"/>
      <w:numFmt w:val="lowerLetter"/>
      <w:lvlText w:val="%8."/>
      <w:lvlJc w:val="left"/>
      <w:pPr>
        <w:ind w:left="6495" w:hanging="360"/>
      </w:pPr>
    </w:lvl>
    <w:lvl w:ilvl="8" w:tplc="0409001B">
      <w:start w:val="1"/>
      <w:numFmt w:val="lowerRoman"/>
      <w:lvlText w:val="%9."/>
      <w:lvlJc w:val="right"/>
      <w:pPr>
        <w:ind w:left="7215" w:hanging="180"/>
      </w:pPr>
    </w:lvl>
  </w:abstractNum>
  <w:abstractNum w:abstractNumId="35" w15:restartNumberingAfterBreak="0">
    <w:nsid w:val="72806698"/>
    <w:multiLevelType w:val="hybridMultilevel"/>
    <w:tmpl w:val="042ED620"/>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30"/>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9"/>
  </w:num>
  <w:num w:numId="17" w16cid:durableId="2128498676">
    <w:abstractNumId w:val="36"/>
  </w:num>
  <w:num w:numId="18" w16cid:durableId="299724409">
    <w:abstractNumId w:val="27"/>
  </w:num>
  <w:num w:numId="19" w16cid:durableId="214585573">
    <w:abstractNumId w:val="14"/>
  </w:num>
  <w:num w:numId="20" w16cid:durableId="1289816170">
    <w:abstractNumId w:val="15"/>
  </w:num>
  <w:num w:numId="21" w16cid:durableId="1066490929">
    <w:abstractNumId w:val="37"/>
  </w:num>
  <w:num w:numId="22" w16cid:durableId="1472481103">
    <w:abstractNumId w:val="29"/>
  </w:num>
  <w:num w:numId="23" w16cid:durableId="1997420403">
    <w:abstractNumId w:val="32"/>
  </w:num>
  <w:num w:numId="24" w16cid:durableId="33312838">
    <w:abstractNumId w:val="28"/>
  </w:num>
  <w:num w:numId="25" w16cid:durableId="507404939">
    <w:abstractNumId w:val="18"/>
  </w:num>
  <w:num w:numId="26" w16cid:durableId="1950313333">
    <w:abstractNumId w:val="23"/>
  </w:num>
  <w:num w:numId="27" w16cid:durableId="1866016584">
    <w:abstractNumId w:val="21"/>
  </w:num>
  <w:num w:numId="28" w16cid:durableId="2005531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593119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85514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11237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2639606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921745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54461677">
    <w:abstractNumId w:val="35"/>
  </w:num>
  <w:num w:numId="35" w16cid:durableId="1267536728">
    <w:abstractNumId w:val="20"/>
  </w:num>
  <w:num w:numId="36" w16cid:durableId="212085297">
    <w:abstractNumId w:val="16"/>
  </w:num>
  <w:num w:numId="37" w16cid:durableId="1375346658">
    <w:abstractNumId w:val="26"/>
  </w:num>
  <w:num w:numId="38" w16cid:durableId="824011804">
    <w:abstractNumId w:val="37"/>
  </w:num>
  <w:num w:numId="39" w16cid:durableId="223832676">
    <w:abstractNumId w:val="22"/>
  </w:num>
  <w:num w:numId="40" w16cid:durableId="1246375613">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0C1"/>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3D7E"/>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1F6"/>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8"/>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0E7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31C"/>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77FAD"/>
    <w:rsid w:val="00381B05"/>
    <w:rsid w:val="00381B16"/>
    <w:rsid w:val="0038248C"/>
    <w:rsid w:val="00382C29"/>
    <w:rsid w:val="00382C85"/>
    <w:rsid w:val="0038309E"/>
    <w:rsid w:val="00383B8B"/>
    <w:rsid w:val="00384D85"/>
    <w:rsid w:val="0038594B"/>
    <w:rsid w:val="00385C81"/>
    <w:rsid w:val="00386F82"/>
    <w:rsid w:val="0038726A"/>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0F3"/>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4CD8"/>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239"/>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22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1E7A"/>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2049"/>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438"/>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452"/>
    <w:rsid w:val="0064565D"/>
    <w:rsid w:val="00645B20"/>
    <w:rsid w:val="00645D4F"/>
    <w:rsid w:val="00647646"/>
    <w:rsid w:val="0065036F"/>
    <w:rsid w:val="00650ADD"/>
    <w:rsid w:val="00651202"/>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1C90"/>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6CB6"/>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6D6E"/>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5309"/>
    <w:rsid w:val="006D5A09"/>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7D"/>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67F"/>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1B1"/>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14D"/>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2C8"/>
    <w:rsid w:val="00A01B93"/>
    <w:rsid w:val="00A037A5"/>
    <w:rsid w:val="00A04292"/>
    <w:rsid w:val="00A051FE"/>
    <w:rsid w:val="00A05BED"/>
    <w:rsid w:val="00A05C06"/>
    <w:rsid w:val="00A05C6E"/>
    <w:rsid w:val="00A05C84"/>
    <w:rsid w:val="00A06128"/>
    <w:rsid w:val="00A06530"/>
    <w:rsid w:val="00A0687B"/>
    <w:rsid w:val="00A06974"/>
    <w:rsid w:val="00A07349"/>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588C"/>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0CA3"/>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369E"/>
    <w:rsid w:val="00AD457D"/>
    <w:rsid w:val="00AD5212"/>
    <w:rsid w:val="00AD5E4E"/>
    <w:rsid w:val="00AD6657"/>
    <w:rsid w:val="00AD6ADD"/>
    <w:rsid w:val="00AD703C"/>
    <w:rsid w:val="00AE11A1"/>
    <w:rsid w:val="00AE1ECB"/>
    <w:rsid w:val="00AE22E9"/>
    <w:rsid w:val="00AE2C21"/>
    <w:rsid w:val="00AE3026"/>
    <w:rsid w:val="00AE31CB"/>
    <w:rsid w:val="00AE3BAF"/>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15B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388"/>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11C"/>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2AF"/>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4EF0"/>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27AA"/>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87A"/>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3EC0"/>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6ED"/>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69030123">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882849">
      <w:bodyDiv w:val="1"/>
      <w:marLeft w:val="0"/>
      <w:marRight w:val="0"/>
      <w:marTop w:val="0"/>
      <w:marBottom w:val="0"/>
      <w:divBdr>
        <w:top w:val="none" w:sz="0" w:space="0" w:color="auto"/>
        <w:left w:val="none" w:sz="0" w:space="0" w:color="auto"/>
        <w:bottom w:val="none" w:sz="0" w:space="0" w:color="auto"/>
        <w:right w:val="none" w:sz="0" w:space="0" w:color="auto"/>
      </w:divBdr>
    </w:div>
    <w:div w:id="305595758">
      <w:bodyDiv w:val="1"/>
      <w:marLeft w:val="0"/>
      <w:marRight w:val="0"/>
      <w:marTop w:val="0"/>
      <w:marBottom w:val="0"/>
      <w:divBdr>
        <w:top w:val="none" w:sz="0" w:space="0" w:color="auto"/>
        <w:left w:val="none" w:sz="0" w:space="0" w:color="auto"/>
        <w:bottom w:val="none" w:sz="0" w:space="0" w:color="auto"/>
        <w:right w:val="none" w:sz="0" w:space="0" w:color="auto"/>
      </w:divBdr>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093745158">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6251164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37563320">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43529658">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19418410">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9EFC5F-7BEE-4FC0-AF38-2ED00D278FA4}"/>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9e5e3151-c0b7-45db-a3fc-693419218584"/>
    <ds:schemaRef ds:uri="140c881a-ad29-41df-bf4a-49828f8e0a8a"/>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455</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Inlyta 2079-A SGM 2024</vt:lpstr>
    </vt:vector>
  </TitlesOfParts>
  <Company>PCS Health Systems</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Inlyta 2079-A SGM 2024</dc:title>
  <dc:subject/>
  <dc:creator>CVS Caremark</dc:creator>
  <cp:keywords/>
  <cp:lastModifiedBy>Huerta, Linda M</cp:lastModifiedBy>
  <cp:revision>5</cp:revision>
  <cp:lastPrinted>2018-01-09T11:01:00Z</cp:lastPrinted>
  <dcterms:created xsi:type="dcterms:W3CDTF">2024-11-13T21:12:00Z</dcterms:created>
  <dcterms:modified xsi:type="dcterms:W3CDTF">2024-11-15T18:19:00Z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12865900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